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uppressAutoHyphens w:val="true"/>
        <w:spacing w:after="0" w:before="0" w:line="360" w:lineRule="auto"/>
        <w:jc w:val="center"/>
      </w:pPr>
      <w:r>
        <w:rPr>
          <w:rFonts w:ascii="Arial" w:cs="Times New Roman" w:eastAsia="Times New Roman" w:hAnsi="Arial"/>
          <w:b/>
          <w:sz w:val="20"/>
          <w:szCs w:val="20"/>
          <w:lang w:eastAsia="ar-SA"/>
        </w:rPr>
        <w:t>Comissão de Comunicação</w:t>
      </w:r>
    </w:p>
    <w:p>
      <w:pPr>
        <w:pStyle w:val="style0"/>
        <w:suppressAutoHyphens w:val="true"/>
        <w:spacing w:after="0" w:before="0" w:line="360" w:lineRule="auto"/>
        <w:jc w:val="center"/>
      </w:pPr>
      <w:r>
        <w:rPr>
          <w:rFonts w:ascii="Arial" w:cs="Times New Roman" w:eastAsia="Times New Roman" w:hAnsi="Arial"/>
          <w:b/>
          <w:sz w:val="20"/>
          <w:szCs w:val="20"/>
          <w:lang w:eastAsia="ar-SA"/>
        </w:rPr>
      </w:r>
    </w:p>
    <w:p>
      <w:pPr>
        <w:pStyle w:val="style0"/>
        <w:suppressAutoHyphens w:val="true"/>
        <w:spacing w:after="0" w:before="0" w:line="360" w:lineRule="auto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 xml:space="preserve">A Comissão de Comunicação, integra as Comissões de caráter permanente do CEDI-PR. </w:t>
      </w:r>
    </w:p>
    <w:p>
      <w:pPr>
        <w:pStyle w:val="style0"/>
        <w:suppressAutoHyphens w:val="true"/>
        <w:spacing w:after="0" w:before="0" w:line="360" w:lineRule="auto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É, preferencialmente, paritária, constituída por Conselheiros titulares ou suplentes, designados pelo Plenário do CEDI e dela poderão participar colaboradores e convidados com direito a voz.</w:t>
      </w:r>
    </w:p>
    <w:p>
      <w:pPr>
        <w:pStyle w:val="style0"/>
        <w:suppressAutoHyphens w:val="true"/>
        <w:spacing w:after="0" w:before="0" w:line="360" w:lineRule="auto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 xml:space="preserve">As principais atribuições da Comissão Permanente de Comunicação são:   </w:t>
      </w:r>
    </w:p>
    <w:p>
      <w:pPr>
        <w:pStyle w:val="style0"/>
        <w:suppressAutoHyphens w:val="true"/>
        <w:spacing w:after="0" w:before="0" w:line="360" w:lineRule="auto"/>
      </w:pPr>
      <w:r>
        <w:rPr>
          <w:rFonts w:ascii="Arial" w:cs="Times New Roman" w:eastAsia="Times New Roman" w:hAnsi="Arial"/>
          <w:sz w:val="20"/>
          <w:szCs w:val="20"/>
          <w:lang w:eastAsia="ar-SA"/>
        </w:rPr>
      </w:r>
    </w:p>
    <w:p>
      <w:pPr>
        <w:pStyle w:val="style22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divulgar permanentemente a legislação e matérias que consubstanciam o debate pertinente à temática do idoso;</w:t>
      </w:r>
    </w:p>
    <w:p>
      <w:pPr>
        <w:pStyle w:val="style22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interagir com os canais de comunicação do Estado e outros, para divulgar amplamente a política do idoso no Estado do Paraná, bem como todas as ações do Conselho para conhecimento da comunidade;</w:t>
      </w:r>
    </w:p>
    <w:p>
      <w:pPr>
        <w:pStyle w:val="style22"/>
        <w:numPr>
          <w:ilvl w:val="0"/>
          <w:numId w:val="1"/>
        </w:numPr>
        <w:suppressAutoHyphens w:val="true"/>
        <w:spacing w:after="0" w:before="0" w:line="360" w:lineRule="auto"/>
        <w:jc w:val="both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orientar os trabalhos de manutenção, permanente e atualizada, da página WEB do CEDI, com vistas à sua adequada visibilidade junto aos usuários, bem como nela fazer as inserções de interesse do público-alvo.</w:t>
      </w:r>
    </w:p>
    <w:p>
      <w:pPr>
        <w:pStyle w:val="style0"/>
        <w:suppressAutoHyphens w:val="true"/>
        <w:spacing w:after="0" w:before="0" w:line="360" w:lineRule="auto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t>No desempenho de suas funções a Comissão pode solicitar assessoria técnica compatível com o exercício de suas funções e, como as demais Comissões, conta com a infraestrutura administrativa e operacional necessária, através do gestor estadual da Política do Idoso.</w:t>
      </w:r>
    </w:p>
    <w:p>
      <w:pPr>
        <w:pStyle w:val="style0"/>
        <w:suppressAutoHyphens w:val="true"/>
        <w:spacing w:after="0" w:before="0" w:line="360" w:lineRule="auto"/>
      </w:pPr>
      <w:r>
        <w:rPr>
          <w:rFonts w:ascii="Arial" w:cs="Times New Roman" w:eastAsia="Times New Roman" w:hAnsi="Arial"/>
          <w:sz w:val="20"/>
          <w:szCs w:val="20"/>
          <w:lang w:eastAsia="ar-SA"/>
        </w:rPr>
        <w:br/>
      </w:r>
      <w:r>
        <w:rPr>
          <w:rFonts w:ascii="Arial" w:cs="Times New Roman" w:eastAsia="Times New Roman" w:hAnsi="Arial"/>
          <w:b/>
          <w:sz w:val="20"/>
          <w:szCs w:val="20"/>
          <w:lang w:eastAsia="ar-SA"/>
        </w:rPr>
        <w:t>E</w:t>
      </w: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  <w:t>m razão da matéria de sua competência, cabe à Comissão de Comunicação:</w:t>
      </w:r>
    </w:p>
    <w:p>
      <w:pPr>
        <w:pStyle w:val="style22"/>
        <w:numPr>
          <w:ilvl w:val="0"/>
          <w:numId w:val="2"/>
        </w:numPr>
        <w:suppressAutoHyphens w:val="true"/>
        <w:spacing w:after="100" w:before="100" w:line="360" w:lineRule="auto"/>
        <w:jc w:val="both"/>
      </w:pP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  <w:t>Discutir e votar as proposições que lhe forem distribuídas, sujeitas à apreciação pela Mesa Diretora e deliberação do Plenário;</w:t>
      </w:r>
    </w:p>
    <w:p>
      <w:pPr>
        <w:pStyle w:val="style22"/>
        <w:numPr>
          <w:ilvl w:val="0"/>
          <w:numId w:val="2"/>
        </w:numPr>
        <w:suppressAutoHyphens w:val="true"/>
        <w:spacing w:after="100" w:before="100" w:line="360" w:lineRule="auto"/>
        <w:jc w:val="both"/>
      </w:pP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  <w:t>Emitir parecer sobre as proposições sujeitas à deliberação do Plenário, opinando pela aprovação ou rejeição, total ou parcial, ou pelo arquivamento e, quando for o caso, formular projetos delas decorrentes;</w:t>
      </w:r>
    </w:p>
    <w:p>
      <w:pPr>
        <w:pStyle w:val="style22"/>
        <w:numPr>
          <w:ilvl w:val="0"/>
          <w:numId w:val="2"/>
        </w:numPr>
        <w:suppressAutoHyphens w:val="true"/>
        <w:spacing w:after="100" w:before="100" w:line="360" w:lineRule="auto"/>
        <w:jc w:val="both"/>
      </w:pP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  <w:t xml:space="preserve"> </w:t>
      </w: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  <w:t xml:space="preserve">Elaborar relatório acerca de temas relacionados com a política do idoso ou com matéria de sua competência encaminhando parecer à plenária, objetivando auxiliar na </w:t>
      </w:r>
      <w:r>
        <w:rPr>
          <w:rFonts w:ascii="Arial" w:cs="Times New Roman" w:hAnsi="Arial"/>
          <w:sz w:val="20"/>
          <w:szCs w:val="20"/>
        </w:rPr>
        <w:t>elaboração de respostas às consultas encaminhadas ao Conselho,</w:t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cs="Times New Roman" w:eastAsia="Times New Roman" w:hAnsi="Arial"/>
          <w:color w:val="333333"/>
          <w:sz w:val="20"/>
          <w:szCs w:val="20"/>
          <w:lang w:eastAsia="ar-SA"/>
        </w:rPr>
      </w:r>
    </w:p>
    <w:p>
      <w:pPr>
        <w:pStyle w:val="style0"/>
        <w:suppressAutoHyphens w:val="true"/>
        <w:spacing w:after="100" w:before="100" w:line="360" w:lineRule="auto"/>
        <w:jc w:val="both"/>
      </w:pPr>
      <w:r>
        <w:rPr>
          <w:rFonts w:ascii="Arial" w:hAnsi="Arial"/>
          <w:sz w:val="20"/>
          <w:szCs w:val="20"/>
        </w:rPr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libri">
    <w:charset w:val="80"/>
    <w:family w:val="roman"/>
    <w:pitch w:val="variable"/>
  </w:font>
  <w:font w:name="Wingdings">
    <w:charset w:val="02"/>
    <w:family w:val="auto"/>
    <w:pitch w:val="variable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paragraph">
    <w:name w:val="Título"/>
    <w:basedOn w:val="style0"/>
    <w:next w:val="style18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8" w:type="paragraph">
    <w:name w:val="Corpo de texto"/>
    <w:basedOn w:val="style0"/>
    <w:next w:val="style18"/>
    <w:pPr>
      <w:spacing w:after="120" w:before="0"/>
    </w:pPr>
    <w:rPr/>
  </w:style>
  <w:style w:styleId="style19" w:type="paragraph">
    <w:name w:val="Lista"/>
    <w:basedOn w:val="style18"/>
    <w:next w:val="style19"/>
    <w:pPr/>
    <w:rPr>
      <w:rFonts w:cs="Lohit Hindi"/>
    </w:rPr>
  </w:style>
  <w:style w:styleId="style20" w:type="paragraph">
    <w:name w:val="Legenda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Índice"/>
    <w:basedOn w:val="style0"/>
    <w:next w:val="style21"/>
    <w:pPr>
      <w:suppressLineNumbers/>
    </w:pPr>
    <w:rPr>
      <w:rFonts w:cs="Lohit Hindi"/>
    </w:rPr>
  </w:style>
  <w:style w:styleId="style22" w:type="paragraph">
    <w:name w:val="List Paragraph"/>
    <w:basedOn w:val="style0"/>
    <w:next w:val="style22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2016-10-18T16:02:00.00Z</dcterms:created>
  <dc:creator>Irmã Julieta Zanolla</dc:creator>
  <cp:lastModifiedBy>Irmã Julieta Zanolla</cp:lastModifiedBy>
  <dcterms:modified xsi:type="dcterms:W3CDTF">2016-10-18T16:34:00.00Z</dcterms:modified>
  <cp:revision>2</cp:revision>
</cp:coreProperties>
</file>